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A8BE" w14:textId="1DBCB0FA" w:rsidR="00EF3CC5" w:rsidRDefault="00356E18">
      <w:r>
        <w:t xml:space="preserve">Gut Shabbos! This </w:t>
      </w:r>
      <w:proofErr w:type="spellStart"/>
      <w:r>
        <w:t>d’var</w:t>
      </w:r>
      <w:proofErr w:type="spellEnd"/>
      <w:r>
        <w:t xml:space="preserve"> has two sections.  The first recounts parsha</w:t>
      </w:r>
      <w:r w:rsidR="005601B1">
        <w:t xml:space="preserve"> </w:t>
      </w:r>
      <w:proofErr w:type="spellStart"/>
      <w:r w:rsidR="005601B1">
        <w:t>Vayelech</w:t>
      </w:r>
      <w:proofErr w:type="spellEnd"/>
      <w:r>
        <w:t xml:space="preserve">. No one will be surprised by its language. We hear much of it, repeated ad nauseum, </w:t>
      </w:r>
      <w:r w:rsidR="00616A4F">
        <w:t xml:space="preserve">and </w:t>
      </w:r>
      <w:r>
        <w:t>offen</w:t>
      </w:r>
      <w:r w:rsidR="00904936">
        <w:t>sive to</w:t>
      </w:r>
      <w:r>
        <w:t xml:space="preserve"> our 21</w:t>
      </w:r>
      <w:r w:rsidRPr="00356E18">
        <w:rPr>
          <w:vertAlign w:val="superscript"/>
        </w:rPr>
        <w:t>st</w:t>
      </w:r>
      <w:r>
        <w:t xml:space="preserve"> century </w:t>
      </w:r>
      <w:r w:rsidR="00904936">
        <w:t>sensibilities.</w:t>
      </w:r>
      <w:r>
        <w:t xml:space="preserve"> </w:t>
      </w:r>
      <w:r w:rsidR="00904936">
        <w:t>B</w:t>
      </w:r>
      <w:r>
        <w:t>ut this language is not new to us, because we heard it back in Ki Tissa, at Mount Sinai, and we are enjoined again to remember that Torah is continually revealed to us</w:t>
      </w:r>
      <w:r w:rsidR="00904936">
        <w:t>, even in repetition</w:t>
      </w:r>
      <w:r>
        <w:t xml:space="preserve">. </w:t>
      </w:r>
    </w:p>
    <w:p w14:paraId="3E3D0790" w14:textId="77777777" w:rsidR="005601B1" w:rsidRDefault="005601B1"/>
    <w:p w14:paraId="5933A91C" w14:textId="4251ACA9" w:rsidR="00356E18" w:rsidRDefault="005601B1">
      <w:r>
        <w:t>The second section is “for funsies,” a current phrase best used with small children</w:t>
      </w:r>
      <w:r w:rsidR="00616A4F">
        <w:t xml:space="preserve"> by</w:t>
      </w:r>
      <w:r>
        <w:t xml:space="preserve"> music teachers. The</w:t>
      </w:r>
      <w:r w:rsidR="00356E18">
        <w:t xml:space="preserve"> phrase</w:t>
      </w:r>
      <w:r>
        <w:t xml:space="preserve"> that I want to examine is</w:t>
      </w:r>
      <w:r w:rsidR="00356E18">
        <w:t xml:space="preserve"> </w:t>
      </w:r>
      <w:r>
        <w:t>“</w:t>
      </w:r>
      <w:proofErr w:type="spellStart"/>
      <w:r w:rsidR="00356E18">
        <w:t>hazak</w:t>
      </w:r>
      <w:proofErr w:type="spellEnd"/>
      <w:r w:rsidR="00356E18">
        <w:t xml:space="preserve"> </w:t>
      </w:r>
      <w:proofErr w:type="spellStart"/>
      <w:r w:rsidR="00356E18">
        <w:t>v’ematz</w:t>
      </w:r>
      <w:proofErr w:type="spellEnd"/>
      <w:r>
        <w:t>”</w:t>
      </w:r>
      <w:r w:rsidR="00356E18">
        <w:t xml:space="preserve"> (in </w:t>
      </w:r>
      <w:r w:rsidR="00904936">
        <w:t xml:space="preserve">its </w:t>
      </w:r>
      <w:r w:rsidR="00356E18">
        <w:t xml:space="preserve">various </w:t>
      </w:r>
      <w:r w:rsidR="00904936">
        <w:t>forms</w:t>
      </w:r>
      <w:r w:rsidR="00356E18">
        <w:t>)</w:t>
      </w:r>
      <w:r>
        <w:t>. It is repeated several times in the parshah and in subsequent writings. What does it mean? Why do the translations differ from each other? Who uses the phrase as its slogan, its call to action?</w:t>
      </w:r>
    </w:p>
    <w:p w14:paraId="52B127DC" w14:textId="71530394" w:rsidR="005601B1" w:rsidRDefault="005601B1"/>
    <w:p w14:paraId="18BD2ABF" w14:textId="61B39A18" w:rsidR="005601B1" w:rsidRDefault="00364CCC">
      <w:r>
        <w:t xml:space="preserve">Now </w:t>
      </w:r>
      <w:r w:rsidR="00904936">
        <w:t>on to</w:t>
      </w:r>
      <w:r>
        <w:t xml:space="preserve"> </w:t>
      </w:r>
      <w:proofErr w:type="spellStart"/>
      <w:r>
        <w:t>Vayelech</w:t>
      </w:r>
      <w:proofErr w:type="spellEnd"/>
      <w:r>
        <w:t xml:space="preserve">. It is a short parsha, one chapter with 30 lines. It can be divided into three teachings. </w:t>
      </w:r>
    </w:p>
    <w:p w14:paraId="44ACFA6D" w14:textId="3B0FEE8E" w:rsidR="00364CCC" w:rsidRDefault="00364CCC"/>
    <w:p w14:paraId="3AAA1FBD" w14:textId="1834C5A8" w:rsidR="006F7C3D" w:rsidRDefault="00364CCC">
      <w:r>
        <w:t xml:space="preserve">The first begins with Moshe Rabbenu reminding all Israel that he turned 120 the day he gave his speech. They were told Hashem would not let him </w:t>
      </w:r>
      <w:r w:rsidR="006F7C3D">
        <w:t>cross the Jordan. We hear</w:t>
      </w:r>
      <w:r w:rsidR="003A1126">
        <w:t xml:space="preserve"> Moshe Rabbenu tell the people</w:t>
      </w:r>
      <w:r w:rsidR="006F7C3D">
        <w:t xml:space="preserve"> </w:t>
      </w:r>
      <w:proofErr w:type="gramStart"/>
      <w:r w:rsidR="006F7C3D">
        <w:t>“</w:t>
      </w:r>
      <w:proofErr w:type="spellStart"/>
      <w:r w:rsidR="006F7C3D">
        <w:t>hizku</w:t>
      </w:r>
      <w:proofErr w:type="spellEnd"/>
      <w:proofErr w:type="gramEnd"/>
      <w:r w:rsidR="006F7C3D">
        <w:t xml:space="preserve"> </w:t>
      </w:r>
      <w:proofErr w:type="spellStart"/>
      <w:r w:rsidR="006F7C3D">
        <w:t>v’imzu</w:t>
      </w:r>
      <w:proofErr w:type="spellEnd"/>
      <w:r w:rsidR="006F7C3D">
        <w:t>,”</w:t>
      </w:r>
      <w:r w:rsidR="0067469E">
        <w:rPr>
          <w:rStyle w:val="EndnoteReference"/>
        </w:rPr>
        <w:endnoteReference w:id="1"/>
      </w:r>
      <w:r w:rsidR="006F7C3D">
        <w:t xml:space="preserve"> </w:t>
      </w:r>
      <w:r w:rsidR="003A1126">
        <w:t xml:space="preserve">a phrase which is </w:t>
      </w:r>
      <w:r w:rsidR="006F7C3D">
        <w:t>a recurring theme</w:t>
      </w:r>
      <w:r w:rsidR="003A1126">
        <w:t>.</w:t>
      </w:r>
      <w:r w:rsidR="00904936">
        <w:rPr>
          <w:rStyle w:val="EndnoteReference"/>
        </w:rPr>
        <w:endnoteReference w:id="2"/>
      </w:r>
      <w:r w:rsidR="003A1126">
        <w:t xml:space="preserve"> </w:t>
      </w:r>
    </w:p>
    <w:p w14:paraId="5CD08D2A" w14:textId="77777777" w:rsidR="006F7C3D" w:rsidRDefault="006F7C3D"/>
    <w:p w14:paraId="6D3F97F2" w14:textId="491A69A8" w:rsidR="00364CCC" w:rsidRDefault="003A1126">
      <w:r>
        <w:t>The second begins</w:t>
      </w:r>
      <w:r w:rsidR="005E1CB8">
        <w:rPr>
          <w:rStyle w:val="EndnoteReference"/>
        </w:rPr>
        <w:endnoteReference w:id="3"/>
      </w:r>
      <w:r>
        <w:t xml:space="preserve"> with Moshe </w:t>
      </w:r>
      <w:proofErr w:type="spellStart"/>
      <w:r>
        <w:t>Rabbenu’s</w:t>
      </w:r>
      <w:proofErr w:type="spellEnd"/>
      <w:r>
        <w:t xml:space="preserve"> charge to </w:t>
      </w:r>
      <w:r w:rsidR="006F7C3D">
        <w:t>Joshua</w:t>
      </w:r>
      <w:r>
        <w:t>, for he</w:t>
      </w:r>
      <w:r w:rsidR="006F7C3D">
        <w:t xml:space="preserve"> will lead them into the promised land, and Hashem would ensure their success against the nations in the land at that time. </w:t>
      </w:r>
      <w:r>
        <w:t xml:space="preserve">Then Moshe wrote that teaching and gave it to the priests. Their charge was to read that teaching – in fact, the entire </w:t>
      </w:r>
      <w:r w:rsidR="00A27DF7">
        <w:t>book of Deuteronomy</w:t>
      </w:r>
      <w:r>
        <w:t xml:space="preserve"> – to the people every </w:t>
      </w:r>
      <w:r w:rsidR="00A27DF7">
        <w:t xml:space="preserve">seven years, the year of the </w:t>
      </w:r>
      <w:proofErr w:type="spellStart"/>
      <w:r w:rsidR="00A27DF7" w:rsidRPr="00904936">
        <w:rPr>
          <w:i/>
          <w:iCs/>
        </w:rPr>
        <w:t>shemitta</w:t>
      </w:r>
      <w:proofErr w:type="spellEnd"/>
      <w:r w:rsidR="007828F6">
        <w:t>, at Sukkot</w:t>
      </w:r>
      <w:r>
        <w:t>.</w:t>
      </w:r>
      <w:r w:rsidR="00A27DF7">
        <w:rPr>
          <w:rStyle w:val="EndnoteReference"/>
        </w:rPr>
        <w:endnoteReference w:id="4"/>
      </w:r>
      <w:r w:rsidR="007828F6">
        <w:t xml:space="preserve"> Everyone, Hebrew men and women and their children, as well as strangers, “shall hear and learn to revere the Lord your God as long as they live in the land . . .”</w:t>
      </w:r>
      <w:r w:rsidR="007828F6">
        <w:rPr>
          <w:rStyle w:val="EndnoteReference"/>
        </w:rPr>
        <w:endnoteReference w:id="5"/>
      </w:r>
      <w:r w:rsidR="007828F6">
        <w:t xml:space="preserve"> </w:t>
      </w:r>
    </w:p>
    <w:p w14:paraId="2EE69BE6" w14:textId="77777777" w:rsidR="007828F6" w:rsidRDefault="007828F6"/>
    <w:p w14:paraId="3377A7A2" w14:textId="4D6549A2" w:rsidR="009922A8" w:rsidRDefault="007828F6">
      <w:r>
        <w:t xml:space="preserve">The third section </w:t>
      </w:r>
      <w:r w:rsidR="005E1CB8">
        <w:t>is about Moshe Rabbenu and his impending death. The first two lines read “You [Moshe Rabbenu] are soon to lie with your fathers. This people will thereupon go astray after the alien gods in their midst . . . they will forsake Me and break My covenant that I made with them.” Then God’s anger will flare at them. Verse 21: “For I know what plans they are devising even now, before I bring them into the land</w:t>
      </w:r>
      <w:r w:rsidR="009922A8">
        <w:t xml:space="preserve"> that I promised on oath.” (We’re hearing a lot about that anticipated betrayal over the past weeks. It’s like having your car stereo stuck on a country/western channel that you’re unable to change.)</w:t>
      </w:r>
      <w:r w:rsidR="00741BAD">
        <w:t xml:space="preserve"> </w:t>
      </w:r>
    </w:p>
    <w:p w14:paraId="7AE472C0" w14:textId="29132743" w:rsidR="009922A8" w:rsidRDefault="009922A8"/>
    <w:p w14:paraId="5ED60463" w14:textId="2553BCC9" w:rsidR="009922A8" w:rsidRDefault="009922A8">
      <w:r>
        <w:t xml:space="preserve">Moshe Rabbenu writes the song, told the Levites to place it beside the Ark of the Covenant “and let it remain there as a witness against you. </w:t>
      </w:r>
      <w:proofErr w:type="gramStart"/>
      <w:r>
        <w:t>Well</w:t>
      </w:r>
      <w:proofErr w:type="gramEnd"/>
      <w:r>
        <w:t xml:space="preserve"> I [Moshe Rabbenu] know how defiant and stiff-necked you are</w:t>
      </w:r>
      <w:r w:rsidR="00741BAD">
        <w:t xml:space="preserve"> . . . how much more, then, when I am dead!” He then recites the words of “this poem to the very end, in the hearing of the whole congregation of Israel.” We will hear it next week when </w:t>
      </w:r>
      <w:proofErr w:type="spellStart"/>
      <w:r w:rsidR="00741BAD">
        <w:t>Ha’azinu</w:t>
      </w:r>
      <w:proofErr w:type="spellEnd"/>
      <w:r w:rsidR="00741BAD">
        <w:t xml:space="preserve"> is read. </w:t>
      </w:r>
    </w:p>
    <w:p w14:paraId="6479FEE5" w14:textId="37347F31" w:rsidR="00B62E97" w:rsidRDefault="00B62E97"/>
    <w:p w14:paraId="74005922" w14:textId="6FDF19AB" w:rsidR="00B62E97" w:rsidRDefault="00B62E97">
      <w:r>
        <w:t xml:space="preserve">This is not the first time our people are commanded to hear the Law. </w:t>
      </w:r>
      <w:r w:rsidR="00A07D10">
        <w:t>Chapter 5 of Deuteronomy</w:t>
      </w:r>
      <w:r w:rsidR="00B333CB">
        <w:t xml:space="preserve"> reminds us of the Ten Commandments and the Shema. </w:t>
      </w:r>
      <w:r w:rsidR="00616A4F">
        <w:t>M</w:t>
      </w:r>
      <w:r w:rsidR="00B333CB">
        <w:t xml:space="preserve">ore to the point, </w:t>
      </w:r>
      <w:r w:rsidR="00616A4F">
        <w:t xml:space="preserve">it recalls </w:t>
      </w:r>
      <w:proofErr w:type="spellStart"/>
      <w:r w:rsidR="00B333CB">
        <w:t>parasha</w:t>
      </w:r>
      <w:proofErr w:type="spellEnd"/>
      <w:r w:rsidR="00B333CB">
        <w:t xml:space="preserve"> Ki Tissa </w:t>
      </w:r>
      <w:r w:rsidR="00A2584D">
        <w:t>(Exodus 32:19-34:35)</w:t>
      </w:r>
      <w:r w:rsidR="00616A4F">
        <w:t>, which also includes a</w:t>
      </w:r>
      <w:r w:rsidR="00B333CB">
        <w:t xml:space="preserve"> command to collect a per capita tax</w:t>
      </w:r>
      <w:r w:rsidR="00616A4F">
        <w:t xml:space="preserve"> and the Ten Commandments. [Ki Tissa notes</w:t>
      </w:r>
      <w:r w:rsidR="00B333CB">
        <w:t xml:space="preserve"> as well the Divine commission of </w:t>
      </w:r>
      <w:proofErr w:type="spellStart"/>
      <w:r w:rsidR="00B333CB">
        <w:t>Betzalel</w:t>
      </w:r>
      <w:proofErr w:type="spellEnd"/>
      <w:r w:rsidR="00B333CB">
        <w:t xml:space="preserve"> (something well known to several congregants here today</w:t>
      </w:r>
      <w:r w:rsidR="00616A4F">
        <w:t>]</w:t>
      </w:r>
      <w:r w:rsidR="001B1982">
        <w:t xml:space="preserve">. </w:t>
      </w:r>
    </w:p>
    <w:p w14:paraId="36B4F363" w14:textId="56E9DD54" w:rsidR="001B1982" w:rsidRDefault="001B1982"/>
    <w:p w14:paraId="64DCBA7A" w14:textId="37FC2375" w:rsidR="001B1982" w:rsidRDefault="00AE6E4C">
      <w:r>
        <w:t xml:space="preserve">Back at Mount Sinai, </w:t>
      </w:r>
      <w:r w:rsidR="001B1982">
        <w:t>the people were afraid because Moses had not yet returned</w:t>
      </w:r>
      <w:r w:rsidR="00A2584D">
        <w:t xml:space="preserve"> from the mountain top</w:t>
      </w:r>
      <w:r w:rsidR="001B1982">
        <w:t xml:space="preserve">. </w:t>
      </w:r>
      <w:proofErr w:type="gramStart"/>
      <w:r w:rsidR="001B1982">
        <w:t>So</w:t>
      </w:r>
      <w:proofErr w:type="gramEnd"/>
      <w:r w:rsidR="001B1982">
        <w:t xml:space="preserve"> they built, with Aaron’s blessing, the golden calf. Moses was told that we are a stiff-necked people and then persuades Hashem not to kill all of our ancestors. We are introduced to Joshua, the loyal servant, positioned halfway up Mount Sinai, aware of the jubilant din.</w:t>
      </w:r>
    </w:p>
    <w:p w14:paraId="1A3E32B6" w14:textId="77777777" w:rsidR="00904936" w:rsidRDefault="00904936"/>
    <w:p w14:paraId="0EDD9EAB" w14:textId="109B3F21" w:rsidR="001B1982" w:rsidRDefault="001B1982">
      <w:r>
        <w:t xml:space="preserve">We watch Moshe Rabbenu </w:t>
      </w:r>
      <w:r w:rsidR="00724A60">
        <w:t>call “whoever is for the Lord, come here!”</w:t>
      </w:r>
      <w:r w:rsidR="00724A60">
        <w:rPr>
          <w:rStyle w:val="EndnoteReference"/>
        </w:rPr>
        <w:endnoteReference w:id="6"/>
      </w:r>
      <w:r w:rsidR="00724A60">
        <w:t xml:space="preserve"> The Levites respond, killing 3,000 people. </w:t>
      </w:r>
      <w:r w:rsidR="00616A4F">
        <w:t>Moses has to</w:t>
      </w:r>
      <w:r w:rsidR="00724A60">
        <w:t xml:space="preserve"> carve two </w:t>
      </w:r>
      <w:r w:rsidR="00616A4F">
        <w:t xml:space="preserve">new </w:t>
      </w:r>
      <w:r w:rsidR="00724A60">
        <w:t xml:space="preserve">stone tablets and returns with the words we chant during these Days of Awe: “Adonai, Adonai, El </w:t>
      </w:r>
      <w:proofErr w:type="spellStart"/>
      <w:r w:rsidR="00724A60">
        <w:t>rachum</w:t>
      </w:r>
      <w:proofErr w:type="spellEnd"/>
      <w:r w:rsidR="00724A60">
        <w:t xml:space="preserve"> </w:t>
      </w:r>
      <w:proofErr w:type="spellStart"/>
      <w:r w:rsidR="00724A60">
        <w:t>v’chanun</w:t>
      </w:r>
      <w:proofErr w:type="spellEnd"/>
      <w:r w:rsidR="00724A60">
        <w:t xml:space="preserve">, </w:t>
      </w:r>
      <w:proofErr w:type="spellStart"/>
      <w:r w:rsidR="00724A60">
        <w:t>erech</w:t>
      </w:r>
      <w:proofErr w:type="spellEnd"/>
      <w:r w:rsidR="00724A60">
        <w:t xml:space="preserve"> </w:t>
      </w:r>
      <w:proofErr w:type="spellStart"/>
      <w:r w:rsidR="00724A60">
        <w:t>apayim</w:t>
      </w:r>
      <w:proofErr w:type="spellEnd"/>
      <w:r w:rsidR="00724A60">
        <w:t xml:space="preserve"> </w:t>
      </w:r>
      <w:proofErr w:type="spellStart"/>
      <w:r w:rsidR="00724A60">
        <w:t>v’rav</w:t>
      </w:r>
      <w:proofErr w:type="spellEnd"/>
      <w:r w:rsidR="00724A60">
        <w:t xml:space="preserve"> </w:t>
      </w:r>
      <w:proofErr w:type="spellStart"/>
      <w:r w:rsidR="00724A60">
        <w:t>chesed</w:t>
      </w:r>
      <w:proofErr w:type="spellEnd"/>
      <w:r w:rsidR="00724A60">
        <w:t xml:space="preserve"> </w:t>
      </w:r>
      <w:proofErr w:type="spellStart"/>
      <w:r w:rsidR="00724A60">
        <w:t>v’ement</w:t>
      </w:r>
      <w:proofErr w:type="spellEnd"/>
      <w:r w:rsidR="00724A60">
        <w:t xml:space="preserve">, no-say </w:t>
      </w:r>
      <w:proofErr w:type="spellStart"/>
      <w:r w:rsidR="00724A60">
        <w:t>chesed</w:t>
      </w:r>
      <w:proofErr w:type="spellEnd"/>
      <w:r w:rsidR="00724A60">
        <w:t xml:space="preserve"> </w:t>
      </w:r>
      <w:proofErr w:type="spellStart"/>
      <w:r w:rsidR="00724A60">
        <w:t>l’alafim</w:t>
      </w:r>
      <w:proofErr w:type="spellEnd"/>
      <w:r w:rsidR="00724A60">
        <w:t xml:space="preserve">, </w:t>
      </w:r>
      <w:proofErr w:type="spellStart"/>
      <w:r w:rsidR="00724A60">
        <w:t>nosay</w:t>
      </w:r>
      <w:proofErr w:type="spellEnd"/>
      <w:r w:rsidR="00724A60">
        <w:t xml:space="preserve"> </w:t>
      </w:r>
      <w:proofErr w:type="spellStart"/>
      <w:r w:rsidR="00724A60">
        <w:t>avon</w:t>
      </w:r>
      <w:proofErr w:type="spellEnd"/>
      <w:r w:rsidR="00724A60">
        <w:t xml:space="preserve"> </w:t>
      </w:r>
      <w:proofErr w:type="spellStart"/>
      <w:r w:rsidR="00724A60">
        <w:t>va-fesha</w:t>
      </w:r>
      <w:proofErr w:type="spellEnd"/>
      <w:r w:rsidR="00724A60">
        <w:t xml:space="preserve"> </w:t>
      </w:r>
      <w:proofErr w:type="spellStart"/>
      <w:r w:rsidR="00724A60">
        <w:t>ve’hata’ah</w:t>
      </w:r>
      <w:proofErr w:type="spellEnd"/>
      <w:r w:rsidR="00724A60">
        <w:t xml:space="preserve"> </w:t>
      </w:r>
      <w:proofErr w:type="spellStart"/>
      <w:r w:rsidR="00724A60">
        <w:t>ve’nakay</w:t>
      </w:r>
      <w:proofErr w:type="spellEnd"/>
      <w:r w:rsidR="00724A60">
        <w:t xml:space="preserve">.” But we omit the end, where </w:t>
      </w:r>
      <w:r w:rsidR="006741EB">
        <w:t>the sins of the parents are visited upon the third and fourth generations.”</w:t>
      </w:r>
      <w:r w:rsidR="006741EB">
        <w:rPr>
          <w:rStyle w:val="EndnoteReference"/>
        </w:rPr>
        <w:endnoteReference w:id="7"/>
      </w:r>
    </w:p>
    <w:p w14:paraId="63B89B88" w14:textId="77777777" w:rsidR="00F8435B" w:rsidRDefault="00F8435B"/>
    <w:p w14:paraId="5E18A11B" w14:textId="5692D4AA" w:rsidR="00BE3DAC" w:rsidRDefault="00F8435B">
      <w:proofErr w:type="gramStart"/>
      <w:r>
        <w:t>So</w:t>
      </w:r>
      <w:proofErr w:type="gramEnd"/>
      <w:r>
        <w:t xml:space="preserve"> </w:t>
      </w:r>
      <w:r w:rsidR="00AE6E4C">
        <w:t>t</w:t>
      </w:r>
      <w:r>
        <w:t xml:space="preserve">he </w:t>
      </w:r>
      <w:r w:rsidR="00AE6E4C">
        <w:t>roots of</w:t>
      </w:r>
      <w:r>
        <w:t xml:space="preserve"> today’s parsha </w:t>
      </w:r>
      <w:r w:rsidR="00AE6E4C">
        <w:t>are in</w:t>
      </w:r>
      <w:r>
        <w:t xml:space="preserve"> Ki Tissa. Some parallels can be drawn between them. The salient point is our nation cannot survive through charismatic leadership alone. </w:t>
      </w:r>
      <w:r w:rsidR="00616A4F">
        <w:t>And t</w:t>
      </w:r>
      <w:r>
        <w:t xml:space="preserve">hreats alone do not work well; they didn’t then </w:t>
      </w:r>
      <w:r w:rsidR="00BE3DAC">
        <w:t xml:space="preserve">in Sinai, not when Joshua ascended to lead us, and not now. </w:t>
      </w:r>
      <w:r w:rsidR="00481B88">
        <w:t>Repeated t</w:t>
      </w:r>
      <w:r w:rsidR="00BE3DAC">
        <w:t xml:space="preserve">hreats </w:t>
      </w:r>
      <w:r w:rsidR="00481B88">
        <w:t xml:space="preserve">and calamities </w:t>
      </w:r>
      <w:r w:rsidR="00BE3DAC">
        <w:t>only go so far. For the long haul, it is our leaders</w:t>
      </w:r>
      <w:r w:rsidR="00A2584D">
        <w:t xml:space="preserve">, and us, </w:t>
      </w:r>
      <w:r w:rsidR="00BE3DAC">
        <w:t xml:space="preserve">who are grounded by Tanakh and who refresh that knowledge regularly. </w:t>
      </w:r>
      <w:r w:rsidR="00BE3DAC">
        <w:rPr>
          <w:rStyle w:val="EndnoteReference"/>
        </w:rPr>
        <w:endnoteReference w:id="8"/>
      </w:r>
    </w:p>
    <w:p w14:paraId="3F09F0AD" w14:textId="7B62E2C1" w:rsidR="00A35CE4" w:rsidRDefault="00A35CE4"/>
    <w:p w14:paraId="1BA1F203" w14:textId="243C8850" w:rsidR="00A35CE4" w:rsidRDefault="00A35CE4">
      <w:r>
        <w:t xml:space="preserve">Now for the fun part of this </w:t>
      </w:r>
      <w:proofErr w:type="spellStart"/>
      <w:r>
        <w:t>d’var</w:t>
      </w:r>
      <w:proofErr w:type="spellEnd"/>
      <w:r>
        <w:t xml:space="preserve">. The question I want to answer is: what does </w:t>
      </w:r>
      <w:proofErr w:type="spellStart"/>
      <w:r>
        <w:t>chazak</w:t>
      </w:r>
      <w:proofErr w:type="spellEnd"/>
      <w:r>
        <w:t xml:space="preserve"> </w:t>
      </w:r>
      <w:proofErr w:type="spellStart"/>
      <w:r>
        <w:t>v’ematz</w:t>
      </w:r>
      <w:proofErr w:type="spellEnd"/>
      <w:r>
        <w:t xml:space="preserve"> mean</w:t>
      </w:r>
      <w:r w:rsidR="00ED275C">
        <w:t>?</w:t>
      </w:r>
      <w:r>
        <w:t xml:space="preserve"> The Reconstruction Machzor (1999) translates the phrase as “be strong and resilient.” </w:t>
      </w:r>
    </w:p>
    <w:p w14:paraId="3557B668" w14:textId="00FD89A7" w:rsidR="005536C1" w:rsidRDefault="005536C1"/>
    <w:p w14:paraId="1996854A" w14:textId="113CAD53" w:rsidR="005536C1" w:rsidRDefault="005536C1">
      <w:r>
        <w:t>Using Sefaria.org, I searched for the phrase “be strong and . . .,” hoping to retrieve translations with the first half of that phrase, which allows for different translations of the second.</w:t>
      </w:r>
    </w:p>
    <w:p w14:paraId="5FD1F549" w14:textId="14BBCAD6" w:rsidR="005536C1" w:rsidRDefault="005536C1"/>
    <w:p w14:paraId="03613B01" w14:textId="64886C7F" w:rsidR="005536C1" w:rsidRDefault="005536C1">
      <w:r>
        <w:t>There were 21 hits. Many used “</w:t>
      </w:r>
      <w:proofErr w:type="spellStart"/>
      <w:r>
        <w:t>chazak</w:t>
      </w:r>
      <w:proofErr w:type="spellEnd"/>
      <w:r>
        <w:t xml:space="preserve"> </w:t>
      </w:r>
      <w:proofErr w:type="spellStart"/>
      <w:r>
        <w:t>v’ematz</w:t>
      </w:r>
      <w:proofErr w:type="spellEnd"/>
      <w:r>
        <w:t xml:space="preserve">” as a proof-text. Others </w:t>
      </w:r>
      <w:r w:rsidR="00E5008D">
        <w:t>used the word “strength,” without “</w:t>
      </w:r>
      <w:proofErr w:type="spellStart"/>
      <w:r w:rsidR="00E5008D">
        <w:t>ematz</w:t>
      </w:r>
      <w:proofErr w:type="spellEnd"/>
      <w:r w:rsidR="00E5008D">
        <w:t>.”</w:t>
      </w:r>
      <w:r w:rsidR="0067469E">
        <w:rPr>
          <w:rStyle w:val="EndnoteReference"/>
        </w:rPr>
        <w:endnoteReference w:id="9"/>
      </w:r>
      <w:r w:rsidR="00E5008D">
        <w:t xml:space="preserve"> (</w:t>
      </w:r>
      <w:r w:rsidR="0067469E">
        <w:t>In David’s charge to Solomon, at</w:t>
      </w:r>
      <w:r w:rsidR="00E5008D">
        <w:t xml:space="preserve"> Kings 2:2</w:t>
      </w:r>
      <w:r w:rsidR="0067469E">
        <w:t>, there’s a variant translated as</w:t>
      </w:r>
      <w:r w:rsidR="00E5008D">
        <w:t xml:space="preserve"> </w:t>
      </w:r>
      <w:r w:rsidR="0067469E">
        <w:t>“be strong and show yourself a man.”)</w:t>
      </w:r>
      <w:r w:rsidR="00E5008D">
        <w:t xml:space="preserve"> </w:t>
      </w:r>
      <w:r w:rsidR="0067469E">
        <w:t>V</w:t>
      </w:r>
      <w:r w:rsidR="00E5008D">
        <w:t>ersion</w:t>
      </w:r>
      <w:r w:rsidR="0067469E">
        <w:t>s</w:t>
      </w:r>
      <w:r w:rsidR="00E5008D">
        <w:t xml:space="preserve"> of “</w:t>
      </w:r>
      <w:proofErr w:type="spellStart"/>
      <w:r w:rsidR="00E5008D">
        <w:t>chazak</w:t>
      </w:r>
      <w:proofErr w:type="spellEnd"/>
      <w:r w:rsidR="00E5008D">
        <w:t xml:space="preserve"> </w:t>
      </w:r>
      <w:proofErr w:type="spellStart"/>
      <w:r w:rsidR="00E5008D">
        <w:t>v’ematz</w:t>
      </w:r>
      <w:proofErr w:type="spellEnd"/>
      <w:r w:rsidR="00E5008D">
        <w:t xml:space="preserve">” were </w:t>
      </w:r>
      <w:r w:rsidR="0067469E">
        <w:t xml:space="preserve">found in </w:t>
      </w:r>
      <w:r w:rsidR="00E5008D">
        <w:t xml:space="preserve">Deuteronomy and Joshua. </w:t>
      </w:r>
      <w:r w:rsidR="00616A4F">
        <w:t>F</w:t>
      </w:r>
      <w:r w:rsidR="0067469E">
        <w:t>our translations</w:t>
      </w:r>
      <w:r w:rsidR="00616A4F">
        <w:t>:</w:t>
      </w:r>
      <w:r w:rsidR="0067469E">
        <w:t xml:space="preserve"> </w:t>
      </w:r>
      <w:r w:rsidR="00616A4F">
        <w:t>our</w:t>
      </w:r>
      <w:r w:rsidR="00ED275C">
        <w:t xml:space="preserve"> phrase was translated as “Be strong and firm,” “Be strong and of good courage,” “Be strong and resolute,” and “Be strong and stalwart.”</w:t>
      </w:r>
      <w:r w:rsidR="0067469E">
        <w:rPr>
          <w:rStyle w:val="EndnoteReference"/>
        </w:rPr>
        <w:endnoteReference w:id="10"/>
      </w:r>
      <w:r w:rsidR="00ED275C">
        <w:t xml:space="preserve"> </w:t>
      </w:r>
    </w:p>
    <w:p w14:paraId="3F260530" w14:textId="30A1DF80" w:rsidR="00ED275C" w:rsidRDefault="00ED275C"/>
    <w:p w14:paraId="4D07FBE7" w14:textId="5529B6AD" w:rsidR="00ED275C" w:rsidRDefault="00ED275C">
      <w:r>
        <w:t>Firm, good courage, resolute, and stalwart. These denote strength</w:t>
      </w:r>
      <w:r w:rsidR="00C57F84">
        <w:t xml:space="preserve">, perhaps strength applied to </w:t>
      </w:r>
      <w:r w:rsidR="00904936">
        <w:t xml:space="preserve">being active and not passive. </w:t>
      </w:r>
      <w:r>
        <w:t xml:space="preserve">Perhaps “resilient” fits in there, somewhere. </w:t>
      </w:r>
      <w:r w:rsidR="00C57F84">
        <w:t>“Resilient” has something of the therapeutic to my ears</w:t>
      </w:r>
      <w:r w:rsidR="00904936">
        <w:t>, better suited to this Age of Anxiety</w:t>
      </w:r>
      <w:r w:rsidR="003E6520">
        <w:t xml:space="preserve"> than crossing the Jordan</w:t>
      </w:r>
      <w:r w:rsidR="00C57F84">
        <w:t xml:space="preserve">. </w:t>
      </w:r>
    </w:p>
    <w:p w14:paraId="2035EC9D" w14:textId="4FC31010" w:rsidR="00C57F84" w:rsidRDefault="00C57F84"/>
    <w:p w14:paraId="5B6215C1" w14:textId="66751B85" w:rsidR="00A77741" w:rsidRDefault="00C57F84">
      <w:r>
        <w:t xml:space="preserve">All the same, I suggest that being strong and of good courage is the proper approach for those who don’t care for </w:t>
      </w:r>
      <w:r w:rsidR="00632789">
        <w:t xml:space="preserve">the </w:t>
      </w:r>
      <w:r w:rsidR="00173052">
        <w:t xml:space="preserve">implicit </w:t>
      </w:r>
      <w:r w:rsidR="00A77741">
        <w:t>operant conditioning</w:t>
      </w:r>
      <w:r w:rsidR="00632789">
        <w:t xml:space="preserve"> of transgression and punishment</w:t>
      </w:r>
      <w:r w:rsidR="00A77741">
        <w:t>,</w:t>
      </w:r>
      <w:r w:rsidR="003E6520">
        <w:rPr>
          <w:rStyle w:val="EndnoteReference"/>
        </w:rPr>
        <w:endnoteReference w:id="11"/>
      </w:r>
      <w:r w:rsidR="00A77741">
        <w:t xml:space="preserve"> the blood-curdling threats of the recent parashot, the “accept this </w:t>
      </w:r>
      <w:r w:rsidR="005F59F4">
        <w:t xml:space="preserve">and prosper, </w:t>
      </w:r>
      <w:r w:rsidR="00A77741">
        <w:t xml:space="preserve">or die miserably after watching your life and the lives of those you love suffer intensely.” </w:t>
      </w:r>
    </w:p>
    <w:p w14:paraId="034A375B" w14:textId="77777777" w:rsidR="00A77741" w:rsidRDefault="00A77741"/>
    <w:p w14:paraId="094C052A" w14:textId="25E20960" w:rsidR="00C57F84" w:rsidRDefault="00A77741">
      <w:r>
        <w:t xml:space="preserve">That doesn’t sit well with current thinking. By constant study, we try to understand what makes a life worth living. It’s an improvement over </w:t>
      </w:r>
      <w:r w:rsidR="00173052">
        <w:t>life in a Jewish Skinner box</w:t>
      </w:r>
      <w:r>
        <w:t xml:space="preserve">. To the extent one sees fit to understand the laws and customs that keep Judaism alive, we can choose to avoid sin and evil. </w:t>
      </w:r>
      <w:r w:rsidR="00632789">
        <w:t>By accepting the challenge</w:t>
      </w:r>
      <w:r w:rsidR="005F59F4">
        <w:t xml:space="preserve"> of</w:t>
      </w:r>
      <w:r w:rsidR="00774185">
        <w:t xml:space="preserve"> the command,</w:t>
      </w:r>
      <w:r w:rsidR="00632789">
        <w:t xml:space="preserve"> of </w:t>
      </w:r>
      <w:proofErr w:type="spellStart"/>
      <w:r w:rsidR="00632789">
        <w:rPr>
          <w:i/>
          <w:iCs/>
        </w:rPr>
        <w:t>Chazak</w:t>
      </w:r>
      <w:proofErr w:type="spellEnd"/>
      <w:r w:rsidR="00632789">
        <w:rPr>
          <w:i/>
          <w:iCs/>
        </w:rPr>
        <w:t xml:space="preserve"> </w:t>
      </w:r>
      <w:proofErr w:type="spellStart"/>
      <w:r w:rsidR="00632789">
        <w:rPr>
          <w:i/>
          <w:iCs/>
        </w:rPr>
        <w:t>v’ematz</w:t>
      </w:r>
      <w:proofErr w:type="spellEnd"/>
      <w:r w:rsidR="00632789">
        <w:t xml:space="preserve">, we </w:t>
      </w:r>
      <w:r w:rsidR="00774185">
        <w:t>knowingly and willingly take on responsibility</w:t>
      </w:r>
      <w:r w:rsidR="00632789">
        <w:t xml:space="preserve"> </w:t>
      </w:r>
      <w:r w:rsidR="00774185">
        <w:t xml:space="preserve">- </w:t>
      </w:r>
      <w:r w:rsidR="00632789">
        <w:t xml:space="preserve">autonomy and agency </w:t>
      </w:r>
      <w:proofErr w:type="gramStart"/>
      <w:r w:rsidR="00774185">
        <w:t xml:space="preserve">- </w:t>
      </w:r>
      <w:r w:rsidR="00632789">
        <w:t xml:space="preserve"> within</w:t>
      </w:r>
      <w:proofErr w:type="gramEnd"/>
      <w:r w:rsidR="00632789">
        <w:t xml:space="preserve"> the parameters of Jewish law and tradition.</w:t>
      </w:r>
      <w:r w:rsidR="00173052">
        <w:rPr>
          <w:rStyle w:val="EndnoteReference"/>
        </w:rPr>
        <w:endnoteReference w:id="12"/>
      </w:r>
      <w:r w:rsidR="00632789">
        <w:t xml:space="preserve"> </w:t>
      </w:r>
    </w:p>
    <w:p w14:paraId="7AEFE43E" w14:textId="60141D13" w:rsidR="00774185" w:rsidRDefault="00774185"/>
    <w:p w14:paraId="7EAC5A29" w14:textId="2C5227C6" w:rsidR="00774185" w:rsidRPr="00632789" w:rsidRDefault="00774185">
      <w:r>
        <w:t xml:space="preserve">Thank you for your forbearance and the honor of giving this </w:t>
      </w:r>
      <w:proofErr w:type="spellStart"/>
      <w:r>
        <w:t>d’var</w:t>
      </w:r>
      <w:proofErr w:type="spellEnd"/>
      <w:r>
        <w:t xml:space="preserve">. </w:t>
      </w:r>
    </w:p>
    <w:p w14:paraId="46CF5580" w14:textId="1B0FFD1F" w:rsidR="00A77741" w:rsidRDefault="00A77741"/>
    <w:p w14:paraId="4F6E5E22" w14:textId="551643E8" w:rsidR="00A77741" w:rsidRDefault="00A77741">
      <w:r>
        <w:t xml:space="preserve">Now I have a question for you: </w:t>
      </w:r>
      <w:r w:rsidR="006A3558">
        <w:t>which 20</w:t>
      </w:r>
      <w:r w:rsidR="006A3558" w:rsidRPr="006A3558">
        <w:rPr>
          <w:vertAlign w:val="superscript"/>
        </w:rPr>
        <w:t>th</w:t>
      </w:r>
      <w:r w:rsidR="006A3558">
        <w:t xml:space="preserve"> century organization used “</w:t>
      </w:r>
      <w:proofErr w:type="spellStart"/>
      <w:r w:rsidR="006A3558">
        <w:t>chazak</w:t>
      </w:r>
      <w:proofErr w:type="spellEnd"/>
      <w:r w:rsidR="006A3558">
        <w:t xml:space="preserve"> </w:t>
      </w:r>
      <w:proofErr w:type="spellStart"/>
      <w:r w:rsidR="006A3558">
        <w:t>v’ematz</w:t>
      </w:r>
      <w:proofErr w:type="spellEnd"/>
      <w:r w:rsidR="006A3558">
        <w:t>” as a greeting between (here’s your hint, folks) comrades?</w:t>
      </w:r>
      <w:r w:rsidR="00890C3F">
        <w:rPr>
          <w:rStyle w:val="EndnoteReference"/>
        </w:rPr>
        <w:endnoteReference w:id="13"/>
      </w:r>
      <w:r w:rsidR="006A3558">
        <w:t xml:space="preserve"> </w:t>
      </w:r>
    </w:p>
    <w:p w14:paraId="3A9F3B87" w14:textId="09BB8502" w:rsidR="006A3558" w:rsidRDefault="006A3558"/>
    <w:p w14:paraId="79EA64D5" w14:textId="3551EA4B" w:rsidR="006A3558" w:rsidRDefault="006A3558">
      <w:r>
        <w:t>Ready, steady, go! Questions and comments are welcome.</w:t>
      </w:r>
      <w:r w:rsidR="00632789">
        <w:rPr>
          <w:rStyle w:val="EndnoteReference"/>
        </w:rPr>
        <w:endnoteReference w:id="14"/>
      </w:r>
    </w:p>
    <w:p w14:paraId="010A58D2" w14:textId="77777777" w:rsidR="006A3558" w:rsidRDefault="006A3558"/>
    <w:sectPr w:rsidR="006A3558" w:rsidSect="005F59F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3E29" w14:textId="77777777" w:rsidR="001F561E" w:rsidRDefault="001F561E" w:rsidP="00A27DF7">
      <w:r>
        <w:separator/>
      </w:r>
    </w:p>
  </w:endnote>
  <w:endnote w:type="continuationSeparator" w:id="0">
    <w:p w14:paraId="2C98EDE3" w14:textId="77777777" w:rsidR="001F561E" w:rsidRDefault="001F561E" w:rsidP="00A27DF7">
      <w:r>
        <w:continuationSeparator/>
      </w:r>
    </w:p>
  </w:endnote>
  <w:endnote w:id="1">
    <w:p w14:paraId="14816614" w14:textId="54F2D905" w:rsidR="0067469E" w:rsidRDefault="0067469E">
      <w:pPr>
        <w:pStyle w:val="EndnoteText"/>
      </w:pPr>
      <w:r>
        <w:rPr>
          <w:rStyle w:val="EndnoteReference"/>
        </w:rPr>
        <w:endnoteRef/>
      </w:r>
      <w:r>
        <w:t xml:space="preserve"> Deuteronomy 31:6</w:t>
      </w:r>
    </w:p>
  </w:endnote>
  <w:endnote w:id="2">
    <w:p w14:paraId="5F41DF36" w14:textId="171FE05F" w:rsidR="00904936" w:rsidRDefault="00904936">
      <w:pPr>
        <w:pStyle w:val="EndnoteText"/>
      </w:pPr>
      <w:r>
        <w:rPr>
          <w:rStyle w:val="EndnoteReference"/>
        </w:rPr>
        <w:endnoteRef/>
      </w:r>
      <w:r>
        <w:t xml:space="preserve"> As Linda </w:t>
      </w:r>
      <w:r>
        <w:t>L</w:t>
      </w:r>
      <w:r w:rsidR="00A2584D">
        <w:t>osik</w:t>
      </w:r>
      <w:r>
        <w:t xml:space="preserve"> noted, this phrase applies to </w:t>
      </w:r>
      <w:r w:rsidRPr="00A2584D">
        <w:rPr>
          <w:b/>
          <w:bCs/>
          <w:i/>
          <w:iCs/>
        </w:rPr>
        <w:t>everyone</w:t>
      </w:r>
      <w:r>
        <w:t xml:space="preserve">, not just the </w:t>
      </w:r>
      <w:r w:rsidR="00A2584D">
        <w:t xml:space="preserve">elites and the </w:t>
      </w:r>
      <w:r>
        <w:t>priests.</w:t>
      </w:r>
    </w:p>
  </w:endnote>
  <w:endnote w:id="3">
    <w:p w14:paraId="15541FF6" w14:textId="4B037DA6" w:rsidR="005E1CB8" w:rsidRDefault="005E1CB8">
      <w:pPr>
        <w:pStyle w:val="EndnoteText"/>
      </w:pPr>
      <w:r>
        <w:rPr>
          <w:rStyle w:val="EndnoteReference"/>
        </w:rPr>
        <w:endnoteRef/>
      </w:r>
      <w:r>
        <w:t xml:space="preserve"> Verses 7 through 13</w:t>
      </w:r>
    </w:p>
  </w:endnote>
  <w:endnote w:id="4">
    <w:p w14:paraId="41CBB17D" w14:textId="03F87ECF" w:rsidR="00A27DF7" w:rsidRDefault="00A27DF7">
      <w:pPr>
        <w:pStyle w:val="EndnoteText"/>
      </w:pPr>
      <w:r>
        <w:rPr>
          <w:rStyle w:val="EndnoteReference"/>
        </w:rPr>
        <w:endnoteRef/>
      </w:r>
      <w:r>
        <w:t xml:space="preserve"> Verse 10</w:t>
      </w:r>
    </w:p>
  </w:endnote>
  <w:endnote w:id="5">
    <w:p w14:paraId="1F38D7FC" w14:textId="2B62CD8B" w:rsidR="007828F6" w:rsidRDefault="007828F6">
      <w:pPr>
        <w:pStyle w:val="EndnoteText"/>
      </w:pPr>
      <w:r>
        <w:rPr>
          <w:rStyle w:val="EndnoteReference"/>
        </w:rPr>
        <w:endnoteRef/>
      </w:r>
      <w:r>
        <w:t xml:space="preserve"> Verse 13 and JPS commentary at pages 1174-1175</w:t>
      </w:r>
    </w:p>
  </w:endnote>
  <w:endnote w:id="6">
    <w:p w14:paraId="2180A801" w14:textId="4DB09E59" w:rsidR="00724A60" w:rsidRDefault="00724A60">
      <w:pPr>
        <w:pStyle w:val="EndnoteText"/>
      </w:pPr>
      <w:r>
        <w:rPr>
          <w:rStyle w:val="EndnoteReference"/>
        </w:rPr>
        <w:endnoteRef/>
      </w:r>
      <w:r>
        <w:t xml:space="preserve"> Exodus, chapter 32. </w:t>
      </w:r>
    </w:p>
  </w:endnote>
  <w:endnote w:id="7">
    <w:p w14:paraId="4470842C" w14:textId="18C2A523" w:rsidR="006741EB" w:rsidRDefault="006741EB">
      <w:pPr>
        <w:pStyle w:val="EndnoteText"/>
      </w:pPr>
      <w:r>
        <w:rPr>
          <w:rStyle w:val="EndnoteReference"/>
        </w:rPr>
        <w:endnoteRef/>
      </w:r>
      <w:r>
        <w:t xml:space="preserve"> Exodus chapter 34, verses 5-7.</w:t>
      </w:r>
      <w:r w:rsidR="00AD7B44">
        <w:t xml:space="preserve"> </w:t>
      </w:r>
      <w:r w:rsidR="005F59F4">
        <w:t>N.B.,</w:t>
      </w:r>
      <w:r w:rsidR="00AD7B44">
        <w:t xml:space="preserve"> Repeating the Attributes as a prayer makes sense in penitential prayer. Omitting the long-tail consequences of sin also makes sense. We pray for mercy, not a multigenerational thrashing. </w:t>
      </w:r>
      <w:r w:rsidR="00173052">
        <w:t xml:space="preserve">I wish I looked further into this before writing this </w:t>
      </w:r>
      <w:r w:rsidR="00173052">
        <w:t xml:space="preserve">d’var. </w:t>
      </w:r>
    </w:p>
  </w:endnote>
  <w:endnote w:id="8">
    <w:p w14:paraId="6632A585" w14:textId="4A925B19" w:rsidR="00BE3DAC" w:rsidRPr="00481B88" w:rsidRDefault="00BE3DAC">
      <w:pPr>
        <w:pStyle w:val="EndnoteText"/>
      </w:pPr>
      <w:r>
        <w:rPr>
          <w:rStyle w:val="EndnoteReference"/>
        </w:rPr>
        <w:endnoteRef/>
      </w:r>
      <w:r>
        <w:t xml:space="preserve"> Commentary derived from Rav Nathaniel </w:t>
      </w:r>
      <w:r>
        <w:t xml:space="preserve">Helfgot, </w:t>
      </w:r>
      <w:r>
        <w:rPr>
          <w:i/>
          <w:iCs/>
        </w:rPr>
        <w:t>The Significance of the Order of the Parashot in Vayelekh</w:t>
      </w:r>
      <w:r w:rsidR="00481B88">
        <w:rPr>
          <w:i/>
          <w:iCs/>
        </w:rPr>
        <w:t>,</w:t>
      </w:r>
      <w:r>
        <w:rPr>
          <w:i/>
          <w:iCs/>
        </w:rPr>
        <w:t>”</w:t>
      </w:r>
      <w:r w:rsidR="00481B88">
        <w:t xml:space="preserve"> pages 371-379 from </w:t>
      </w:r>
      <w:r w:rsidR="00481B88">
        <w:rPr>
          <w:u w:val="single"/>
        </w:rPr>
        <w:t>Torah miEtzion</w:t>
      </w:r>
      <w:r w:rsidR="00481B88">
        <w:t>, Yeshivat Har Etzion, 2012.</w:t>
      </w:r>
    </w:p>
  </w:endnote>
  <w:endnote w:id="9">
    <w:p w14:paraId="042E14FD" w14:textId="788061A6" w:rsidR="0067469E" w:rsidRDefault="0067469E">
      <w:pPr>
        <w:pStyle w:val="EndnoteText"/>
      </w:pPr>
      <w:r>
        <w:rPr>
          <w:rStyle w:val="EndnoteReference"/>
        </w:rPr>
        <w:endnoteRef/>
      </w:r>
      <w:r>
        <w:t xml:space="preserve"> 1 Kings 2:2, David’s deathbed instructions to Solomon. </w:t>
      </w:r>
    </w:p>
  </w:endnote>
  <w:endnote w:id="10">
    <w:p w14:paraId="593DC2D0" w14:textId="38E458F9" w:rsidR="0067469E" w:rsidRPr="00890C3F" w:rsidRDefault="0067469E">
      <w:pPr>
        <w:pStyle w:val="EndnoteText"/>
      </w:pPr>
      <w:r>
        <w:rPr>
          <w:rStyle w:val="EndnoteReference"/>
        </w:rPr>
        <w:endnoteRef/>
      </w:r>
      <w:r>
        <w:t xml:space="preserve">  Viz. Rosenbaum and Silbermann (1930), the Soncino translation (from JPS 1947), Etz Chaim (1985), and Robert Alter (2019</w:t>
      </w:r>
      <w:r w:rsidR="00173052">
        <w:t>)</w:t>
      </w:r>
      <w:r>
        <w:t xml:space="preserve">. </w:t>
      </w:r>
      <w:r w:rsidR="005F59F4">
        <w:t>N.B.,</w:t>
      </w:r>
      <w:r w:rsidR="003E6520">
        <w:t xml:space="preserve"> Rabbi </w:t>
      </w:r>
      <w:r w:rsidR="005F59F4">
        <w:t xml:space="preserve">M. </w:t>
      </w:r>
      <w:r w:rsidR="003E6520">
        <w:t>Rosenbaum</w:t>
      </w:r>
      <w:r w:rsidR="005A1ADD">
        <w:t xml:space="preserve"> and A. M. Silbermann, both</w:t>
      </w:r>
      <w:r w:rsidR="003E6520">
        <w:t xml:space="preserve"> graduate</w:t>
      </w:r>
      <w:r w:rsidR="005A1ADD">
        <w:t>s</w:t>
      </w:r>
      <w:r w:rsidR="003E6520">
        <w:t xml:space="preserve"> of the </w:t>
      </w:r>
      <w:r w:rsidR="003E6520">
        <w:t xml:space="preserve">Hildesheimer </w:t>
      </w:r>
      <w:r w:rsidR="005F59F4">
        <w:t>Rabinnical Seminary</w:t>
      </w:r>
      <w:r w:rsidR="003E6520">
        <w:t xml:space="preserve"> in Berlin (prior to World War 2), translated </w:t>
      </w:r>
      <w:r w:rsidR="003E6520" w:rsidRPr="003E6520">
        <w:rPr>
          <w:i/>
          <w:iCs/>
        </w:rPr>
        <w:t xml:space="preserve">Adoshem </w:t>
      </w:r>
      <w:r w:rsidR="003E6520">
        <w:t xml:space="preserve">as </w:t>
      </w:r>
      <w:r w:rsidR="003E6520" w:rsidRPr="003E6520">
        <w:rPr>
          <w:rFonts w:ascii="Copperplate Light" w:hAnsi="Copperplate Light"/>
          <w:i/>
          <w:iCs/>
        </w:rPr>
        <w:t>the Eternal</w:t>
      </w:r>
      <w:r w:rsidR="003E6520">
        <w:t xml:space="preserve">. So, for our traditionally minded friends, </w:t>
      </w:r>
      <w:r w:rsidR="005F59F4">
        <w:t>ask whether</w:t>
      </w:r>
      <w:r w:rsidR="003E6520">
        <w:t xml:space="preserve"> the Reconstructionist practice of finding many replacements for </w:t>
      </w:r>
      <w:r w:rsidR="003E6520">
        <w:rPr>
          <w:i/>
          <w:iCs/>
        </w:rPr>
        <w:t>Adoshem</w:t>
      </w:r>
      <w:r w:rsidR="003E6520">
        <w:t xml:space="preserve"> in our siddurim reflect a tradition or a modern trend?</w:t>
      </w:r>
      <w:r w:rsidR="005A1ADD">
        <w:t xml:space="preserve"> On a related note, look at Cynthia Ozick’s story, </w:t>
      </w:r>
      <w:r w:rsidR="00890C3F">
        <w:rPr>
          <w:i/>
        </w:rPr>
        <w:t>Envy; or Yiddish in America</w:t>
      </w:r>
      <w:r w:rsidR="00890C3F">
        <w:t xml:space="preserve">. The protagonist whines about needing to find the right translator to succeed in America. </w:t>
      </w:r>
    </w:p>
  </w:endnote>
  <w:endnote w:id="11">
    <w:p w14:paraId="49267318" w14:textId="042FF005" w:rsidR="003E6520" w:rsidRDefault="003E6520">
      <w:pPr>
        <w:pStyle w:val="EndnoteText"/>
      </w:pPr>
      <w:r>
        <w:rPr>
          <w:rStyle w:val="EndnoteReference"/>
        </w:rPr>
        <w:endnoteRef/>
      </w:r>
      <w:r>
        <w:t xml:space="preserve"> The simple answer may be that human nature does not change, and humanity can’t quite understand that disobedience leads to punishment. </w:t>
      </w:r>
      <w:r w:rsidR="00F16816">
        <w:t>For the mystics and philosophers among us, it could mean that Torah has its common language meaning (</w:t>
      </w:r>
      <w:r w:rsidR="00F16816" w:rsidRPr="00F16816">
        <w:rPr>
          <w:i/>
          <w:iCs/>
        </w:rPr>
        <w:t>p’shat</w:t>
      </w:r>
      <w:r w:rsidR="00F16816">
        <w:t xml:space="preserve">) and another for the enlightened. </w:t>
      </w:r>
    </w:p>
  </w:endnote>
  <w:endnote w:id="12">
    <w:p w14:paraId="23BF6F5F" w14:textId="4B509202" w:rsidR="00173052" w:rsidRDefault="00173052">
      <w:pPr>
        <w:pStyle w:val="EndnoteText"/>
      </w:pPr>
      <w:r>
        <w:rPr>
          <w:rStyle w:val="EndnoteReference"/>
        </w:rPr>
        <w:endnoteRef/>
      </w:r>
      <w:r>
        <w:t xml:space="preserve"> Let us keep King David in mind. He sinned in many ways, sometimes grievously. Yet our Messiah is David’s descendent. What does this example tell us about </w:t>
      </w:r>
      <w:r w:rsidR="005A1ADD">
        <w:t xml:space="preserve">Hashem, </w:t>
      </w:r>
      <w:r>
        <w:t xml:space="preserve">good and evil, </w:t>
      </w:r>
      <w:r w:rsidR="005A1ADD">
        <w:t xml:space="preserve">and </w:t>
      </w:r>
      <w:r>
        <w:t>virtue and sin</w:t>
      </w:r>
      <w:r w:rsidR="005A1ADD">
        <w:t>.</w:t>
      </w:r>
    </w:p>
  </w:endnote>
  <w:endnote w:id="13">
    <w:p w14:paraId="5238071A" w14:textId="1B024D58" w:rsidR="00890C3F" w:rsidRDefault="00890C3F">
      <w:pPr>
        <w:pStyle w:val="EndnoteText"/>
      </w:pPr>
      <w:r>
        <w:rPr>
          <w:rStyle w:val="EndnoteReference"/>
        </w:rPr>
        <w:endnoteRef/>
      </w:r>
      <w:r>
        <w:t xml:space="preserve"> </w:t>
      </w:r>
      <w:r>
        <w:rPr>
          <w:i/>
          <w:iCs/>
        </w:rPr>
        <w:t>Hashomer Hatzair</w:t>
      </w:r>
      <w:r>
        <w:t>, the “Young Guard,” a 19</w:t>
      </w:r>
      <w:r w:rsidRPr="000F327D">
        <w:rPr>
          <w:vertAlign w:val="superscript"/>
        </w:rPr>
        <w:t>th</w:t>
      </w:r>
      <w:r>
        <w:t xml:space="preserve"> century Eastern European leftist Zionist youth group. The group became an Israeli political movement, </w:t>
      </w:r>
      <w:r w:rsidRPr="000F327D">
        <w:rPr>
          <w:i/>
          <w:iCs/>
        </w:rPr>
        <w:t>MAPAM</w:t>
      </w:r>
      <w:r>
        <w:t>. Congratulations, Robin Willner, who was a member in her younger years.</w:t>
      </w:r>
    </w:p>
  </w:endnote>
  <w:endnote w:id="14">
    <w:p w14:paraId="2295FEDD" w14:textId="4EC4E85F" w:rsidR="00632789" w:rsidRPr="00632789" w:rsidRDefault="00632789">
      <w:pPr>
        <w:pStyle w:val="EndnoteText"/>
      </w:pPr>
      <w:r>
        <w:rPr>
          <w:rStyle w:val="EndnoteReference"/>
        </w:rPr>
        <w:endnoteRef/>
      </w:r>
      <w:r>
        <w:t xml:space="preserve"> </w:t>
      </w:r>
      <w:r w:rsidR="00890C3F">
        <w:t xml:space="preserve">Yes, Constant Reader, this </w:t>
      </w:r>
      <w:r w:rsidR="00890C3F">
        <w:t xml:space="preserve">d’var was edited after it was given. Some points needed clarification. Others weren’t made. So, </w:t>
      </w:r>
      <w:r w:rsidR="00890C3F" w:rsidRPr="00890C3F">
        <w:rPr>
          <w:i/>
        </w:rPr>
        <w:t>that’s all, folks</w:t>
      </w:r>
      <w:r w:rsidR="00890C3F">
        <w:t>. (Cue music, exit stage right.)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pperplate Light">
    <w:altName w:val="Calibri"/>
    <w:charset w:val="4D"/>
    <w:family w:val="auto"/>
    <w:pitch w:val="variable"/>
    <w:sig w:usb0="8000006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7A6A" w14:textId="77777777" w:rsidR="00AE6E4C" w:rsidRDefault="00AE6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9A3D" w14:textId="6A92B1B0" w:rsidR="000D6DB0" w:rsidRPr="00890C3F" w:rsidRDefault="000D6DB0">
    <w:pPr>
      <w:pStyle w:val="Footer"/>
      <w:rPr>
        <w:smallCaps/>
        <w:sz w:val="18"/>
      </w:rPr>
    </w:pPr>
    <w:r w:rsidRPr="00890C3F">
      <w:rPr>
        <w:smallCaps/>
        <w:sz w:val="18"/>
      </w:rPr>
      <w:t xml:space="preserve">Page </w:t>
    </w:r>
    <w:r w:rsidRPr="00890C3F">
      <w:rPr>
        <w:smallCaps/>
        <w:sz w:val="18"/>
      </w:rPr>
      <w:fldChar w:fldCharType="begin"/>
    </w:r>
    <w:r w:rsidRPr="00890C3F">
      <w:rPr>
        <w:smallCaps/>
        <w:sz w:val="18"/>
      </w:rPr>
      <w:instrText xml:space="preserve"> PAGE </w:instrText>
    </w:r>
    <w:r w:rsidRPr="00890C3F">
      <w:rPr>
        <w:smallCaps/>
        <w:sz w:val="18"/>
      </w:rPr>
      <w:fldChar w:fldCharType="separate"/>
    </w:r>
    <w:r w:rsidRPr="00890C3F">
      <w:rPr>
        <w:smallCaps/>
        <w:noProof/>
        <w:sz w:val="18"/>
      </w:rPr>
      <w:t>2</w:t>
    </w:r>
    <w:r w:rsidRPr="00890C3F">
      <w:rPr>
        <w:smallCaps/>
        <w:sz w:val="18"/>
      </w:rPr>
      <w:fldChar w:fldCharType="end"/>
    </w:r>
    <w:r w:rsidRPr="00890C3F">
      <w:rPr>
        <w:smallCaps/>
        <w:sz w:val="18"/>
      </w:rPr>
      <w:t xml:space="preserve"> of </w:t>
    </w:r>
    <w:r w:rsidRPr="00890C3F">
      <w:rPr>
        <w:smallCaps/>
        <w:sz w:val="18"/>
      </w:rPr>
      <w:fldChar w:fldCharType="begin"/>
    </w:r>
    <w:r w:rsidRPr="00890C3F">
      <w:rPr>
        <w:smallCaps/>
        <w:sz w:val="18"/>
      </w:rPr>
      <w:instrText xml:space="preserve"> NUMPAGES </w:instrText>
    </w:r>
    <w:r w:rsidRPr="00890C3F">
      <w:rPr>
        <w:smallCaps/>
        <w:sz w:val="18"/>
      </w:rPr>
      <w:fldChar w:fldCharType="separate"/>
    </w:r>
    <w:r w:rsidRPr="00890C3F">
      <w:rPr>
        <w:smallCaps/>
        <w:noProof/>
        <w:sz w:val="18"/>
      </w:rPr>
      <w:t>3</w:t>
    </w:r>
    <w:r w:rsidRPr="00890C3F">
      <w:rPr>
        <w:smallCaps/>
        <w:sz w:val="18"/>
      </w:rPr>
      <w:fldChar w:fldCharType="end"/>
    </w:r>
    <w:r w:rsidRPr="00890C3F">
      <w:rPr>
        <w:smallCaps/>
        <w:sz w:val="18"/>
      </w:rPr>
      <w:ptab w:relativeTo="margin" w:alignment="center" w:leader="none"/>
    </w:r>
    <w:r w:rsidRPr="00890C3F">
      <w:rPr>
        <w:smallCaps/>
        <w:sz w:val="18"/>
      </w:rPr>
      <w:fldChar w:fldCharType="begin"/>
    </w:r>
    <w:r w:rsidRPr="00890C3F">
      <w:rPr>
        <w:smallCaps/>
        <w:sz w:val="18"/>
      </w:rPr>
      <w:instrText xml:space="preserve"> FILENAME </w:instrText>
    </w:r>
    <w:r w:rsidRPr="00890C3F">
      <w:rPr>
        <w:smallCaps/>
        <w:sz w:val="18"/>
      </w:rPr>
      <w:fldChar w:fldCharType="separate"/>
    </w:r>
    <w:r w:rsidRPr="00890C3F">
      <w:rPr>
        <w:smallCaps/>
        <w:noProof/>
        <w:sz w:val="18"/>
      </w:rPr>
      <w:t>Dvar 20221001 Vayelekh.docx</w:t>
    </w:r>
    <w:r w:rsidRPr="00890C3F">
      <w:rPr>
        <w:smallCaps/>
        <w:sz w:val="18"/>
      </w:rPr>
      <w:fldChar w:fldCharType="end"/>
    </w:r>
    <w:r w:rsidRPr="00890C3F">
      <w:rPr>
        <w:smallCaps/>
        <w:sz w:val="18"/>
      </w:rPr>
      <w:ptab w:relativeTo="margin" w:alignment="right" w:leader="none"/>
    </w:r>
    <w:r w:rsidRPr="00890C3F">
      <w:rPr>
        <w:smallCaps/>
        <w:sz w:val="18"/>
      </w:rPr>
      <w:t>updated 0</w:t>
    </w:r>
    <w:r w:rsidR="00890C3F" w:rsidRPr="00890C3F">
      <w:rPr>
        <w:smallCaps/>
        <w:sz w:val="18"/>
      </w:rPr>
      <w:t>6</w:t>
    </w:r>
    <w:r w:rsidR="00AE6E4C" w:rsidRPr="00890C3F">
      <w:rPr>
        <w:smallCaps/>
        <w:sz w:val="18"/>
      </w:rPr>
      <w:t xml:space="preserve"> December</w:t>
    </w:r>
    <w:r w:rsidRPr="00890C3F">
      <w:rPr>
        <w:smallCaps/>
        <w:sz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1FA2" w14:textId="77777777" w:rsidR="00AE6E4C" w:rsidRDefault="00AE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2D2B" w14:textId="77777777" w:rsidR="001F561E" w:rsidRDefault="001F561E" w:rsidP="00A27DF7">
      <w:r>
        <w:separator/>
      </w:r>
    </w:p>
  </w:footnote>
  <w:footnote w:type="continuationSeparator" w:id="0">
    <w:p w14:paraId="5672E9F3" w14:textId="77777777" w:rsidR="001F561E" w:rsidRDefault="001F561E" w:rsidP="00A2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0E7C" w14:textId="77777777" w:rsidR="00AE6E4C" w:rsidRDefault="00AE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F735" w14:textId="228FB180" w:rsidR="00890C3F" w:rsidRPr="00890C3F" w:rsidRDefault="00890C3F">
    <w:pPr>
      <w:pStyle w:val="Header"/>
      <w:rPr>
        <w:smallCaps/>
      </w:rPr>
    </w:pPr>
    <w:proofErr w:type="spellStart"/>
    <w:r>
      <w:rPr>
        <w:smallCaps/>
      </w:rPr>
      <w:t>Dvar</w:t>
    </w:r>
    <w:proofErr w:type="spellEnd"/>
    <w:r>
      <w:rPr>
        <w:smallCaps/>
      </w:rPr>
      <w:t xml:space="preserve"> on Parsha </w:t>
    </w:r>
    <w:proofErr w:type="spellStart"/>
    <w:r>
      <w:rPr>
        <w:smallCaps/>
      </w:rPr>
      <w:t>Vayelekh</w:t>
    </w:r>
    <w:proofErr w:type="spellEnd"/>
    <w:r>
      <w:rPr>
        <w:smallCaps/>
      </w:rPr>
      <w:t>, 01 October 2022</w:t>
    </w:r>
  </w:p>
  <w:p w14:paraId="0A96CBE9" w14:textId="77777777" w:rsidR="000D6DB0" w:rsidRDefault="000D6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C6DA" w14:textId="77777777" w:rsidR="00AE6E4C" w:rsidRDefault="00AE6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F4"/>
    <w:rsid w:val="0002571B"/>
    <w:rsid w:val="000D3AA1"/>
    <w:rsid w:val="000D6DB0"/>
    <w:rsid w:val="000F327D"/>
    <w:rsid w:val="00100D24"/>
    <w:rsid w:val="00154AE8"/>
    <w:rsid w:val="00173052"/>
    <w:rsid w:val="00174F8A"/>
    <w:rsid w:val="001B1982"/>
    <w:rsid w:val="001F561E"/>
    <w:rsid w:val="002233EC"/>
    <w:rsid w:val="002265CC"/>
    <w:rsid w:val="002C3718"/>
    <w:rsid w:val="00306F14"/>
    <w:rsid w:val="0035392C"/>
    <w:rsid w:val="00356E18"/>
    <w:rsid w:val="00364CCC"/>
    <w:rsid w:val="00383446"/>
    <w:rsid w:val="003A1126"/>
    <w:rsid w:val="003E6520"/>
    <w:rsid w:val="0043502A"/>
    <w:rsid w:val="00481B88"/>
    <w:rsid w:val="004E04D4"/>
    <w:rsid w:val="00531688"/>
    <w:rsid w:val="005536C1"/>
    <w:rsid w:val="005601B1"/>
    <w:rsid w:val="005A1ADD"/>
    <w:rsid w:val="005B432F"/>
    <w:rsid w:val="005E1CB8"/>
    <w:rsid w:val="005F59F4"/>
    <w:rsid w:val="00616A4F"/>
    <w:rsid w:val="00632789"/>
    <w:rsid w:val="006721D6"/>
    <w:rsid w:val="006741EB"/>
    <w:rsid w:val="0067469E"/>
    <w:rsid w:val="006A190D"/>
    <w:rsid w:val="006A3558"/>
    <w:rsid w:val="006B6C2D"/>
    <w:rsid w:val="006F7C3D"/>
    <w:rsid w:val="00724A60"/>
    <w:rsid w:val="00741BAD"/>
    <w:rsid w:val="00774185"/>
    <w:rsid w:val="007828F6"/>
    <w:rsid w:val="007A035F"/>
    <w:rsid w:val="008476AB"/>
    <w:rsid w:val="00890C3F"/>
    <w:rsid w:val="008962CA"/>
    <w:rsid w:val="008B06D7"/>
    <w:rsid w:val="00904936"/>
    <w:rsid w:val="00904D7D"/>
    <w:rsid w:val="0095501F"/>
    <w:rsid w:val="00960576"/>
    <w:rsid w:val="009922A8"/>
    <w:rsid w:val="009C0D36"/>
    <w:rsid w:val="00A07D10"/>
    <w:rsid w:val="00A2584D"/>
    <w:rsid w:val="00A27DF7"/>
    <w:rsid w:val="00A35CE4"/>
    <w:rsid w:val="00A4547B"/>
    <w:rsid w:val="00A77741"/>
    <w:rsid w:val="00AD7B44"/>
    <w:rsid w:val="00AE6E4C"/>
    <w:rsid w:val="00B13AF4"/>
    <w:rsid w:val="00B333CB"/>
    <w:rsid w:val="00B34EDA"/>
    <w:rsid w:val="00B62E97"/>
    <w:rsid w:val="00B6383C"/>
    <w:rsid w:val="00B95CE9"/>
    <w:rsid w:val="00BC1D64"/>
    <w:rsid w:val="00BC3A38"/>
    <w:rsid w:val="00BE3DAC"/>
    <w:rsid w:val="00C57F84"/>
    <w:rsid w:val="00C83CDE"/>
    <w:rsid w:val="00D20655"/>
    <w:rsid w:val="00D57C6F"/>
    <w:rsid w:val="00D82751"/>
    <w:rsid w:val="00E23E7B"/>
    <w:rsid w:val="00E47D2D"/>
    <w:rsid w:val="00E5008D"/>
    <w:rsid w:val="00E92D58"/>
    <w:rsid w:val="00ED275C"/>
    <w:rsid w:val="00F1634B"/>
    <w:rsid w:val="00F16816"/>
    <w:rsid w:val="00F76BD2"/>
    <w:rsid w:val="00F8435B"/>
    <w:rsid w:val="00FB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479"/>
  <w15:chartTrackingRefBased/>
  <w15:docId w15:val="{5A88AFFF-6863-744C-B958-13D05E49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Theme="minorHAnsi" w:hAnsi="Optima"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27DF7"/>
    <w:rPr>
      <w:sz w:val="20"/>
      <w:szCs w:val="20"/>
    </w:rPr>
  </w:style>
  <w:style w:type="character" w:customStyle="1" w:styleId="EndnoteTextChar">
    <w:name w:val="Endnote Text Char"/>
    <w:basedOn w:val="DefaultParagraphFont"/>
    <w:link w:val="EndnoteText"/>
    <w:uiPriority w:val="99"/>
    <w:semiHidden/>
    <w:rsid w:val="00A27DF7"/>
    <w:rPr>
      <w:rFonts w:eastAsiaTheme="minorEastAsia"/>
      <w:sz w:val="20"/>
      <w:szCs w:val="20"/>
    </w:rPr>
  </w:style>
  <w:style w:type="character" w:styleId="EndnoteReference">
    <w:name w:val="endnote reference"/>
    <w:basedOn w:val="DefaultParagraphFont"/>
    <w:uiPriority w:val="99"/>
    <w:semiHidden/>
    <w:unhideWhenUsed/>
    <w:rsid w:val="00A27DF7"/>
    <w:rPr>
      <w:vertAlign w:val="superscript"/>
    </w:rPr>
  </w:style>
  <w:style w:type="paragraph" w:styleId="Header">
    <w:name w:val="header"/>
    <w:basedOn w:val="Normal"/>
    <w:link w:val="HeaderChar"/>
    <w:uiPriority w:val="99"/>
    <w:unhideWhenUsed/>
    <w:rsid w:val="000D6DB0"/>
    <w:pPr>
      <w:tabs>
        <w:tab w:val="center" w:pos="4680"/>
        <w:tab w:val="right" w:pos="9360"/>
      </w:tabs>
    </w:pPr>
  </w:style>
  <w:style w:type="character" w:customStyle="1" w:styleId="HeaderChar">
    <w:name w:val="Header Char"/>
    <w:basedOn w:val="DefaultParagraphFont"/>
    <w:link w:val="Header"/>
    <w:uiPriority w:val="99"/>
    <w:rsid w:val="000D6DB0"/>
    <w:rPr>
      <w:rFonts w:eastAsiaTheme="minorEastAsia"/>
    </w:rPr>
  </w:style>
  <w:style w:type="paragraph" w:styleId="Footer">
    <w:name w:val="footer"/>
    <w:basedOn w:val="Normal"/>
    <w:link w:val="FooterChar"/>
    <w:uiPriority w:val="99"/>
    <w:unhideWhenUsed/>
    <w:rsid w:val="000D6DB0"/>
    <w:pPr>
      <w:tabs>
        <w:tab w:val="center" w:pos="4680"/>
        <w:tab w:val="right" w:pos="9360"/>
      </w:tabs>
    </w:pPr>
  </w:style>
  <w:style w:type="character" w:customStyle="1" w:styleId="FooterChar">
    <w:name w:val="Footer Char"/>
    <w:basedOn w:val="DefaultParagraphFont"/>
    <w:link w:val="Footer"/>
    <w:uiPriority w:val="99"/>
    <w:rsid w:val="000D6DB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Kehillat Israel</cp:lastModifiedBy>
  <cp:revision>2</cp:revision>
  <cp:lastPrinted>2022-10-01T00:03:00Z</cp:lastPrinted>
  <dcterms:created xsi:type="dcterms:W3CDTF">2022-12-07T16:31:00Z</dcterms:created>
  <dcterms:modified xsi:type="dcterms:W3CDTF">2022-12-07T16:31:00Z</dcterms:modified>
</cp:coreProperties>
</file>